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B3" w:rsidRPr="004B6726" w:rsidRDefault="004B6726" w:rsidP="004B672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B6726">
        <w:rPr>
          <w:rFonts w:ascii="Times New Roman" w:hAnsi="Times New Roman" w:cs="Times New Roman"/>
        </w:rPr>
        <w:t>Приложение 3</w:t>
      </w:r>
    </w:p>
    <w:p w:rsidR="004B6726" w:rsidRDefault="004B6726" w:rsidP="004B6726">
      <w:pPr>
        <w:pStyle w:val="ConsPlusNormal"/>
        <w:jc w:val="right"/>
        <w:outlineLvl w:val="0"/>
      </w:pPr>
    </w:p>
    <w:p w:rsidR="004B6726" w:rsidRDefault="004B6726">
      <w:pPr>
        <w:pStyle w:val="ConsPlusTitle"/>
        <w:jc w:val="center"/>
      </w:pPr>
    </w:p>
    <w:p w:rsidR="00CC6EB3" w:rsidRDefault="00CC6EB3">
      <w:pPr>
        <w:pStyle w:val="ConsPlusTitle"/>
        <w:jc w:val="center"/>
      </w:pPr>
      <w:bookmarkStart w:id="0" w:name="_GoBack"/>
      <w:bookmarkEnd w:id="0"/>
      <w:r>
        <w:t>ЦЕНТРАЛЬНЫЙ БАНК РОССИЙСКОЙ ФЕДЕРАЦИИ</w:t>
      </w:r>
    </w:p>
    <w:p w:rsidR="00CC6EB3" w:rsidRDefault="00CC6EB3">
      <w:pPr>
        <w:pStyle w:val="ConsPlusTitle"/>
        <w:jc w:val="center"/>
      </w:pPr>
    </w:p>
    <w:p w:rsidR="00CC6EB3" w:rsidRDefault="00CC6EB3">
      <w:pPr>
        <w:pStyle w:val="ConsPlusTitle"/>
        <w:jc w:val="center"/>
      </w:pPr>
      <w:r>
        <w:t>ИНФОРМАЦИОННОЕ ПИСЬМО</w:t>
      </w:r>
    </w:p>
    <w:p w:rsidR="00CC6EB3" w:rsidRDefault="00CC6EB3">
      <w:pPr>
        <w:pStyle w:val="ConsPlusTitle"/>
        <w:jc w:val="center"/>
      </w:pPr>
      <w:r>
        <w:t>от 3 ноября 2020 г. N ИН-06-59/157</w:t>
      </w:r>
    </w:p>
    <w:p w:rsidR="00CC6EB3" w:rsidRDefault="00CC6EB3">
      <w:pPr>
        <w:pStyle w:val="ConsPlusTitle"/>
        <w:jc w:val="center"/>
      </w:pPr>
    </w:p>
    <w:p w:rsidR="00CC6EB3" w:rsidRDefault="00CC6EB3">
      <w:pPr>
        <w:pStyle w:val="ConsPlusTitle"/>
        <w:jc w:val="center"/>
      </w:pPr>
      <w:r>
        <w:t>О ПОРЯДКЕ</w:t>
      </w:r>
    </w:p>
    <w:p w:rsidR="00CC6EB3" w:rsidRDefault="00CC6EB3">
      <w:pPr>
        <w:pStyle w:val="ConsPlusTitle"/>
        <w:jc w:val="center"/>
      </w:pPr>
      <w:r>
        <w:t>ОКАЗАНИЯ УСЛУГ ПО ВЫДАЧЕ ДЕРЖАТЕЛЯМ ПЛАТЕЖНЫХ</w:t>
      </w:r>
    </w:p>
    <w:p w:rsidR="00CC6EB3" w:rsidRDefault="00CC6EB3">
      <w:pPr>
        <w:pStyle w:val="ConsPlusTitle"/>
        <w:jc w:val="center"/>
      </w:pPr>
      <w:r>
        <w:t>КАРТ НАЛИЧНЫХ ДЕНЕГ ОДНОВРЕМЕННО С ПОКУПКОЙ</w:t>
      </w:r>
    </w:p>
    <w:p w:rsidR="00CC6EB3" w:rsidRDefault="00CC6EB3">
      <w:pPr>
        <w:pStyle w:val="ConsPlusTitle"/>
        <w:jc w:val="center"/>
      </w:pPr>
      <w:r>
        <w:t>В ТОРГОВО-СЕРВИСНЫХ ПРЕДПРИЯТИЯХ</w:t>
      </w:r>
    </w:p>
    <w:p w:rsidR="00CC6EB3" w:rsidRDefault="00CC6EB3">
      <w:pPr>
        <w:pStyle w:val="ConsPlusNormal"/>
        <w:jc w:val="both"/>
      </w:pPr>
    </w:p>
    <w:p w:rsidR="00CC6EB3" w:rsidRDefault="00CC6EB3">
      <w:pPr>
        <w:pStyle w:val="ConsPlusNormal"/>
        <w:ind w:firstLine="540"/>
        <w:jc w:val="both"/>
      </w:pPr>
      <w:r>
        <w:t xml:space="preserve">По результатам реализации пилотного проекта по предоставлению услуг по выдаче держателям платежных карт наличных денег в торгово-сервисных предприятиях (далее соответственно - пилотный проект, услуга/операция </w:t>
      </w:r>
      <w:proofErr w:type="spellStart"/>
      <w:r>
        <w:t>cash-out</w:t>
      </w:r>
      <w:proofErr w:type="spellEnd"/>
      <w:r>
        <w:t>, ТСП) Банк России сообщает следующее.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1. Для минимизации рисков вовлечения ТСП, предоставляющих услугу </w:t>
      </w:r>
      <w:proofErr w:type="spellStart"/>
      <w:r>
        <w:t>cash-out</w:t>
      </w:r>
      <w:proofErr w:type="spellEnd"/>
      <w:r>
        <w:t>, в противоправную деятельность Банк России рекомендует кредитным организациям - эмитентам платежных карт руководствоваться следующими подходами: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ежедневный лимит выдачи наличных денег по операциям </w:t>
      </w:r>
      <w:proofErr w:type="spellStart"/>
      <w:r>
        <w:t>cash-out</w:t>
      </w:r>
      <w:proofErr w:type="spellEnd"/>
      <w:r>
        <w:t xml:space="preserve"> (совокупно для всех карт физического лица, открытых в кредитной организации - эмитенте) не превышает 5 000 рублей;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ежемесячный лимит выдачи наличных денег по операциям </w:t>
      </w:r>
      <w:proofErr w:type="spellStart"/>
      <w:r>
        <w:t>cash-out</w:t>
      </w:r>
      <w:proofErr w:type="spellEnd"/>
      <w:r>
        <w:t xml:space="preserve"> (совокупно для всех карт физического лица, открытых в кредитной организации - эмитенте) не превышает 30 000 рублей;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>выдача наличных денег производится при условии покупки держателем платежной карты товара или услуги в ТСП;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услуга предоставляется физическим лицам - держателям платежных карт. По корпоративным платежным картам юридических лиц и индивидуальных предпринимателей услуга </w:t>
      </w:r>
      <w:proofErr w:type="spellStart"/>
      <w:r>
        <w:t>cash-out</w:t>
      </w:r>
      <w:proofErr w:type="spellEnd"/>
      <w:r>
        <w:t xml:space="preserve"> не предоставляется.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Кредитным организациям, предоставляющим услуги </w:t>
      </w:r>
      <w:proofErr w:type="spellStart"/>
      <w:r>
        <w:t>эквайринга</w:t>
      </w:r>
      <w:proofErr w:type="spellEnd"/>
      <w:r>
        <w:t>, рекомендуется устанавливать аналогичные лимиты на одно ТСП по одной карте.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2. Банк России также рекомендует довести до сведения ТСП - банковских платежных агентов, предоставляющих услугу </w:t>
      </w:r>
      <w:proofErr w:type="spellStart"/>
      <w:r>
        <w:t>cash-out</w:t>
      </w:r>
      <w:proofErr w:type="spellEnd"/>
      <w:r>
        <w:t>, следующее: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2.1. В соответствии с Федеральным </w:t>
      </w:r>
      <w:hyperlink r:id="rId5" w:history="1">
        <w:r>
          <w:rPr>
            <w:color w:val="0000FF"/>
          </w:rPr>
          <w:t>законом</w:t>
        </w:r>
      </w:hyperlink>
      <w:r>
        <w:t xml:space="preserve"> от 22.05.2003 N 54-ФЗ "О применении контрольно-кассовой техники при осуществлении расчетов в Российской Федерации" (далее - Закон N 54-ФЗ) применение контрольно-кассовой техники банковскими платежными агентами является обязательным при осуществлении расчетов. В подтверждение совершения операции по выдаче наличных денег с банковского счета клиента в ТСП ему выдается кассовый чек. </w:t>
      </w:r>
      <w:proofErr w:type="gramStart"/>
      <w:r>
        <w:t xml:space="preserve">С учетом положений </w:t>
      </w:r>
      <w:hyperlink r:id="rId6" w:history="1">
        <w:r>
          <w:rPr>
            <w:color w:val="0000FF"/>
          </w:rPr>
          <w:t>абзаца второго пункта 4.1</w:t>
        </w:r>
      </w:hyperlink>
      <w:r>
        <w:t xml:space="preserve"> Указания Банка России от 11.03.2014 N 3210-У "О порядке ведения кассовых операций юридическими лицами и упрощенном порядке ведения кассовых операций индивидуальными предпринимателями и субъектами малого предпринимательства" (далее - Указания 3210-У), предусматривающих возможность оформления расходного кассового ордера в конце дня на итоговую сумму расходных кассовых операций &lt;1&gt;, не требуется проведение в соответствии с </w:t>
      </w:r>
      <w:hyperlink r:id="rId7" w:history="1">
        <w:r>
          <w:rPr>
            <w:color w:val="0000FF"/>
          </w:rPr>
          <w:t>пунктом 6.1</w:t>
        </w:r>
        <w:proofErr w:type="gramEnd"/>
      </w:hyperlink>
      <w:r>
        <w:t xml:space="preserve"> Указания 3210-У идентификации получателя наличных денег по предъявленному им паспорту или другому документу, удостоверяющему личность.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О</w:t>
      </w:r>
      <w:proofErr w:type="gramEnd"/>
      <w:r>
        <w:t xml:space="preserve">формляется на основании фискальных документов, предусмотренных </w:t>
      </w:r>
      <w:hyperlink r:id="rId8" w:history="1">
        <w:r>
          <w:rPr>
            <w:color w:val="0000FF"/>
          </w:rPr>
          <w:t>абзацем тридцать шестым статьи 1.1</w:t>
        </w:r>
      </w:hyperlink>
      <w:r>
        <w:t xml:space="preserve"> Закона N 54-ФЗ, в том числе кассовых чеков.</w:t>
      </w:r>
    </w:p>
    <w:p w:rsidR="00CC6EB3" w:rsidRDefault="00CC6EB3">
      <w:pPr>
        <w:pStyle w:val="ConsPlusNormal"/>
        <w:jc w:val="both"/>
      </w:pPr>
    </w:p>
    <w:p w:rsidR="00CC6EB3" w:rsidRDefault="00CC6EB3">
      <w:pPr>
        <w:pStyle w:val="ConsPlusNormal"/>
        <w:ind w:firstLine="540"/>
        <w:jc w:val="both"/>
      </w:pPr>
      <w:r>
        <w:t xml:space="preserve">2.2. При совершении операции </w:t>
      </w:r>
      <w:proofErr w:type="spellStart"/>
      <w:r>
        <w:t>cash-out</w:t>
      </w:r>
      <w:proofErr w:type="spellEnd"/>
      <w:r>
        <w:t xml:space="preserve"> не требуется предоставление физическим лицом - держателем платежной карты дополнительных документов и информации.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 xml:space="preserve">2.3. </w:t>
      </w:r>
      <w:proofErr w:type="gramStart"/>
      <w:r>
        <w:t xml:space="preserve">В целях снижения риска попадания неплатежеспособных и поддельных банкнот и монет Банка России в наличное денежное обращение полагаем целесообразным осуществляющим кассовые операции работникам ТСП - банковских платежных агентов, предоставляющих услугу </w:t>
      </w:r>
      <w:proofErr w:type="spellStart"/>
      <w:r>
        <w:t>cash-out</w:t>
      </w:r>
      <w:proofErr w:type="spellEnd"/>
      <w:r>
        <w:t>, пройти дистанционное обучение и тестирование по Программе повышения профессиональных компетенций кассовых работников розничных сетей по вопросам определения подлинности и платежеспособности денежных знаков Банка России, которая размещена на сайте Университета Банка</w:t>
      </w:r>
      <w:proofErr w:type="gramEnd"/>
      <w:r>
        <w:t xml:space="preserve"> России (university.cbr.ru).</w:t>
      </w:r>
    </w:p>
    <w:p w:rsidR="00CC6EB3" w:rsidRDefault="00CC6EB3">
      <w:pPr>
        <w:pStyle w:val="ConsPlusNormal"/>
        <w:spacing w:before="220"/>
        <w:ind w:firstLine="540"/>
        <w:jc w:val="both"/>
      </w:pPr>
      <w:r>
        <w:t>Настоящее информационное письмо подлежит опубликованию в "Вестнике Банка России" и размещению на официальном сайте Банка России в информационно-телекоммуникационной сети "Интернет".</w:t>
      </w:r>
    </w:p>
    <w:p w:rsidR="00CC6EB3" w:rsidRDefault="00CC6EB3">
      <w:pPr>
        <w:pStyle w:val="ConsPlusNormal"/>
        <w:jc w:val="both"/>
      </w:pPr>
    </w:p>
    <w:p w:rsidR="00CC6EB3" w:rsidRDefault="00CC6EB3">
      <w:pPr>
        <w:pStyle w:val="ConsPlusNormal"/>
        <w:jc w:val="right"/>
      </w:pPr>
      <w:r>
        <w:t>Первый заместитель</w:t>
      </w:r>
    </w:p>
    <w:p w:rsidR="00CC6EB3" w:rsidRDefault="00CC6EB3">
      <w:pPr>
        <w:pStyle w:val="ConsPlusNormal"/>
        <w:jc w:val="right"/>
      </w:pPr>
      <w:r>
        <w:t>Председателя Банка России</w:t>
      </w:r>
    </w:p>
    <w:p w:rsidR="00CC6EB3" w:rsidRDefault="00CC6EB3">
      <w:pPr>
        <w:pStyle w:val="ConsPlusNormal"/>
        <w:jc w:val="right"/>
      </w:pPr>
      <w:r>
        <w:t>С.А.ШВЕЦОВ</w:t>
      </w:r>
    </w:p>
    <w:p w:rsidR="00CC6EB3" w:rsidRDefault="00CC6EB3">
      <w:pPr>
        <w:pStyle w:val="ConsPlusNormal"/>
        <w:jc w:val="both"/>
      </w:pPr>
    </w:p>
    <w:p w:rsidR="00CC6EB3" w:rsidRDefault="00CC6EB3">
      <w:pPr>
        <w:pStyle w:val="ConsPlusNormal"/>
        <w:jc w:val="both"/>
      </w:pPr>
    </w:p>
    <w:p w:rsidR="00CC6EB3" w:rsidRDefault="00CC6EB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51684" w:rsidRDefault="00D51684"/>
    <w:sectPr w:rsidR="00D51684" w:rsidSect="006F0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EB3"/>
    <w:rsid w:val="004B6726"/>
    <w:rsid w:val="006C00C5"/>
    <w:rsid w:val="006D2C9C"/>
    <w:rsid w:val="008012C2"/>
    <w:rsid w:val="00CC6EB3"/>
    <w:rsid w:val="00D51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00C5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D2C9C"/>
    <w:pPr>
      <w:numPr>
        <w:ilvl w:val="1"/>
      </w:numPr>
      <w:spacing w:after="0" w:line="240" w:lineRule="auto"/>
    </w:pPr>
    <w:rPr>
      <w:rFonts w:eastAsiaTheme="majorEastAsia" w:cstheme="majorBidi"/>
      <w:iCs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rsid w:val="006D2C9C"/>
    <w:rPr>
      <w:rFonts w:eastAsiaTheme="majorEastAsia" w:cstheme="majorBidi"/>
      <w:iCs/>
      <w:spacing w:val="15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C00C5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paragraph" w:customStyle="1" w:styleId="ConsPlusNormal">
    <w:name w:val="ConsPlusNormal"/>
    <w:rsid w:val="00CC6E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6E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6E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C00C5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D2C9C"/>
    <w:pPr>
      <w:numPr>
        <w:ilvl w:val="1"/>
      </w:numPr>
      <w:spacing w:after="0" w:line="240" w:lineRule="auto"/>
    </w:pPr>
    <w:rPr>
      <w:rFonts w:eastAsiaTheme="majorEastAsia" w:cstheme="majorBidi"/>
      <w:iCs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rsid w:val="006D2C9C"/>
    <w:rPr>
      <w:rFonts w:eastAsiaTheme="majorEastAsia" w:cstheme="majorBidi"/>
      <w:iCs/>
      <w:spacing w:val="15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C00C5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paragraph" w:customStyle="1" w:styleId="ConsPlusNormal">
    <w:name w:val="ConsPlusNormal"/>
    <w:rsid w:val="00CC6E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6E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C6E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6E5BB23451462C381CA9A7DD3BD5A4534CBEC76BB486295BBCEA507F3BC07345FECDA96B6BAB5A887A4BDA628CED8E887ACA4IE63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26E5BB23451462C381CA9A7DD3BD5A4534CBE871BC486295BBCEA507F3BC07345FECD39BB6BAB5A887A4BDA628CED8E887ACA4IE63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926E5BB23451462C381CA9A7DD3BD5A4534CBE871BC486295BBCEA507F3BC07345FECD194E9BFA0B9DFA9BABF37CFC6F485AEIA67N" TargetMode="External"/><Relationship Id="rId5" Type="http://schemas.openxmlformats.org/officeDocument/2006/relationships/hyperlink" Target="consultantplus://offline/ref=6926E5BB23451462C381CA9A7DD3BD5A4534CBEC76BB486295BBCEA507F3BC07345FECD79DBBE5B0BD96FCB0A131D1D9F69BAEA6E0I76A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 Виолетта Витальевна</dc:creator>
  <cp:keywords/>
  <dc:description/>
  <cp:lastModifiedBy>Колесник Алёна Сергеевна</cp:lastModifiedBy>
  <cp:revision>2</cp:revision>
  <dcterms:created xsi:type="dcterms:W3CDTF">2021-10-07T13:58:00Z</dcterms:created>
  <dcterms:modified xsi:type="dcterms:W3CDTF">2022-01-28T07:27:00Z</dcterms:modified>
</cp:coreProperties>
</file>